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E" w:rsidRDefault="00E857C3" w:rsidP="00370711">
      <w:pPr>
        <w:spacing w:after="2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654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:rsidR="0017624E" w:rsidRPr="0037654F" w:rsidRDefault="00A9097C" w:rsidP="0017624E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37654F">
        <w:rPr>
          <w:rFonts w:ascii="Times New Roman" w:hAnsi="Times New Roman" w:cs="Times New Roman"/>
          <w:b/>
          <w:sz w:val="21"/>
          <w:szCs w:val="21"/>
        </w:rPr>
        <w:t>Część</w:t>
      </w:r>
      <w:r w:rsidR="000E0A9F" w:rsidRPr="0037654F">
        <w:rPr>
          <w:rFonts w:ascii="Times New Roman" w:hAnsi="Times New Roman" w:cs="Times New Roman"/>
          <w:b/>
          <w:sz w:val="21"/>
          <w:szCs w:val="21"/>
        </w:rPr>
        <w:t xml:space="preserve"> nr</w:t>
      </w:r>
      <w:r w:rsidR="00100CE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37FB6">
        <w:rPr>
          <w:rFonts w:ascii="Times New Roman" w:hAnsi="Times New Roman" w:cs="Times New Roman"/>
          <w:b/>
          <w:sz w:val="21"/>
          <w:szCs w:val="21"/>
        </w:rPr>
        <w:t>2</w:t>
      </w:r>
      <w:r w:rsidR="00D70AD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4"/>
        <w:gridCol w:w="3510"/>
        <w:gridCol w:w="619"/>
        <w:gridCol w:w="959"/>
        <w:gridCol w:w="1491"/>
        <w:gridCol w:w="1688"/>
        <w:gridCol w:w="912"/>
        <w:gridCol w:w="1768"/>
        <w:gridCol w:w="1412"/>
        <w:gridCol w:w="2397"/>
      </w:tblGrid>
      <w:tr w:rsidR="00FB0EEF" w:rsidRPr="0037654F" w:rsidTr="00FB0EEF">
        <w:tc>
          <w:tcPr>
            <w:tcW w:w="554" w:type="dxa"/>
            <w:shd w:val="clear" w:color="auto" w:fill="D0CECE" w:themeFill="background2" w:themeFillShade="E6"/>
          </w:tcPr>
          <w:p w:rsidR="001566CE" w:rsidRPr="0037654F" w:rsidRDefault="001566CE" w:rsidP="00AF1BD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Przedmiot zamówienia</w:t>
            </w:r>
            <w:r w:rsidR="001B66F4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w</w:t>
            </w:r>
            <w:r w:rsidR="005E12A6" w:rsidRPr="0037654F">
              <w:rPr>
                <w:rFonts w:ascii="Times New Roman" w:hAnsi="Times New Roman" w:cs="Times New Roman"/>
                <w:sz w:val="21"/>
                <w:szCs w:val="21"/>
              </w:rPr>
              <w:t>ielkość opakowania (jeśli dotyczy)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J.m.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1566CE" w:rsidRPr="0037654F" w:rsidRDefault="00F52C63" w:rsidP="00F52C63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Ilość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Cena jednostkowa NETTO w PLN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>za j.m. z kol. 3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1566CE" w:rsidRPr="0037654F" w:rsidRDefault="00842DBD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NETTO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1566CE" w:rsidRPr="0037654F">
              <w:rPr>
                <w:rFonts w:ascii="Times New Roman" w:hAnsi="Times New Roman" w:cs="Times New Roman"/>
                <w:sz w:val="21"/>
                <w:szCs w:val="21"/>
              </w:rPr>
              <w:t>w 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(4 x 5)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Stawka % VAT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(6 + 7)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1566CE" w:rsidRPr="0037654F" w:rsidRDefault="001566CE" w:rsidP="000E512A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Producent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1566CE" w:rsidRPr="0037654F" w:rsidRDefault="00E40F28" w:rsidP="009D6B9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handlowa</w:t>
            </w:r>
            <w:r w:rsidR="000F6F9D" w:rsidRPr="0037654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9707FC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numer katalogowy identyfikując</w:t>
            </w:r>
            <w:r w:rsidR="00D00980" w:rsidRPr="0037654F">
              <w:rPr>
                <w:rFonts w:ascii="Times New Roman" w:hAnsi="Times New Roman" w:cs="Times New Roman"/>
                <w:sz w:val="21"/>
                <w:szCs w:val="21"/>
              </w:rPr>
              <w:t>a/</w:t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05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oferowany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produkt</w:t>
            </w:r>
          </w:p>
        </w:tc>
      </w:tr>
      <w:tr w:rsidR="00FB0EEF" w:rsidRPr="0037654F" w:rsidTr="00FB0EEF">
        <w:trPr>
          <w:trHeight w:val="299"/>
        </w:trPr>
        <w:tc>
          <w:tcPr>
            <w:tcW w:w="554" w:type="dxa"/>
            <w:shd w:val="clear" w:color="auto" w:fill="D0CECE" w:themeFill="background2" w:themeFillShade="E6"/>
          </w:tcPr>
          <w:p w:rsidR="00053C15" w:rsidRPr="0037654F" w:rsidRDefault="00053C15" w:rsidP="00AF1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32A26" w:rsidRPr="0037654F" w:rsidTr="00FB0EEF">
        <w:tc>
          <w:tcPr>
            <w:tcW w:w="554" w:type="dxa"/>
          </w:tcPr>
          <w:p w:rsidR="001566CE" w:rsidRPr="0037654F" w:rsidRDefault="00AF1BD2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</w:tcPr>
          <w:p w:rsidR="001566CE" w:rsidRPr="00A37FB6" w:rsidRDefault="00A37FB6" w:rsidP="000845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Polimer do elektroforezy POP-4 (384) lub równoważny:                                             </w:t>
            </w:r>
            <w:r w:rsidRPr="00A37FB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gotowy do użycia, o własnościach spełniających wymagania elektroforezy kapilarnej w posiadanym przez Zamawiającego aparacie </w:t>
            </w:r>
            <w:proofErr w:type="spellStart"/>
            <w:r w:rsidR="00F524E8" w:rsidRPr="00F524E8">
              <w:rPr>
                <w:rFonts w:ascii="Times New Roman" w:hAnsi="Times New Roman" w:cs="Times New Roman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>Sangera</w:t>
            </w:r>
            <w:proofErr w:type="spellEnd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 , zoptymalizowany do użycia w analizach STR, jako medium separacyjne fragmentów w warunkach denaturujących</w:t>
            </w:r>
            <w:r w:rsidRPr="00A37FB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o własnościach i usieciowieniu umożliwiającym prawidłowy rozdział i analizę fragmentów STR o długości 35-500 </w:t>
            </w:r>
            <w:proofErr w:type="spellStart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>bp,o</w:t>
            </w:r>
            <w:proofErr w:type="spellEnd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 rozdzielczości umożliwiającej precyzyjne zwymiarowanie fragmentów (z maksymalnie dopuszczalnym błędem +/-0,5 bp),konfekcjonowany fabrycznie, w opakowaniu rozpoznawalnym przez system monitorowania czasu pracy i daty ważności odczynników (RFID - Radio </w:t>
            </w:r>
            <w:proofErr w:type="spellStart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>Frequency</w:t>
            </w:r>
            <w:proofErr w:type="spellEnd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>Identification</w:t>
            </w:r>
            <w:proofErr w:type="spellEnd"/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="00E60ECF" w:rsidRPr="00A37FB6">
              <w:rPr>
                <w:rFonts w:ascii="Times New Roman" w:hAnsi="Times New Roman" w:cs="Times New Roman"/>
                <w:sz w:val="21"/>
                <w:szCs w:val="21"/>
              </w:rPr>
              <w:t>pozwalający</w:t>
            </w:r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 na </w:t>
            </w:r>
            <w:r w:rsidR="00E60ECF" w:rsidRPr="00A37FB6">
              <w:rPr>
                <w:rFonts w:ascii="Times New Roman" w:hAnsi="Times New Roman" w:cs="Times New Roman"/>
                <w:sz w:val="21"/>
                <w:szCs w:val="21"/>
              </w:rPr>
              <w:t>przeprowadzenie</w:t>
            </w:r>
            <w:r w:rsidRPr="00A37FB6">
              <w:rPr>
                <w:rFonts w:ascii="Times New Roman" w:hAnsi="Times New Roman" w:cs="Times New Roman"/>
                <w:sz w:val="21"/>
                <w:szCs w:val="21"/>
              </w:rPr>
              <w:t xml:space="preserve"> do 384 analiz po </w:t>
            </w:r>
            <w:r w:rsidRPr="00A37FB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zainstalowaniu </w:t>
            </w:r>
          </w:p>
        </w:tc>
        <w:tc>
          <w:tcPr>
            <w:tcW w:w="619" w:type="dxa"/>
          </w:tcPr>
          <w:p w:rsidR="001566CE" w:rsidRPr="00A77862" w:rsidRDefault="00A37FB6" w:rsidP="009D0D1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op. </w:t>
            </w:r>
          </w:p>
        </w:tc>
        <w:tc>
          <w:tcPr>
            <w:tcW w:w="959" w:type="dxa"/>
          </w:tcPr>
          <w:p w:rsidR="001566CE" w:rsidRPr="00A77862" w:rsidRDefault="00A37FB6" w:rsidP="00A37FB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91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A26" w:rsidRPr="0037654F" w:rsidTr="00FB0EEF">
        <w:tc>
          <w:tcPr>
            <w:tcW w:w="554" w:type="dxa"/>
          </w:tcPr>
          <w:p w:rsidR="001566CE" w:rsidRPr="0037654F" w:rsidRDefault="00AF1BD2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510" w:type="dxa"/>
          </w:tcPr>
          <w:p w:rsidR="001566CE" w:rsidRPr="00A37FB6" w:rsidRDefault="00A37FB6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Polimer do elektroforezy POP-7  lub równoważny:                                             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gotowy do użycia, o własnościach spełniających wymagania elektroforezy kapilarnej w posiadanym przez Zamawiającego aparacie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uniwersalny, optymalizowany do użycia w analizach fragmentów  jak i sekwencjonowania krótkich i długich fragmentów na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sekwenatorze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8-mio kapilarnym konfekcjonowany fabrycznie, w opakowaniu rozpoznawalnym przez system monitorowania czasu pracy i daty ważności odczynników (RFID - Radio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="00E60ECF"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pozwalający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na </w:t>
            </w:r>
            <w:r w:rsidR="00E60ECF"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przeprowadzenie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do 384 analiz po zainstalowaniu, produkt z </w:t>
            </w:r>
            <w:r w:rsidR="00E60ECF"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certyfikatem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CE IVD </w:t>
            </w:r>
          </w:p>
        </w:tc>
        <w:tc>
          <w:tcPr>
            <w:tcW w:w="619" w:type="dxa"/>
          </w:tcPr>
          <w:p w:rsidR="001566CE" w:rsidRPr="00A77862" w:rsidRDefault="00A37FB6" w:rsidP="009D0D1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1566CE" w:rsidRPr="00A77862" w:rsidRDefault="00A37FB6" w:rsidP="00A37FB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491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7FB6" w:rsidRPr="0037654F" w:rsidTr="00A37FB6">
        <w:trPr>
          <w:trHeight w:val="604"/>
        </w:trPr>
        <w:tc>
          <w:tcPr>
            <w:tcW w:w="554" w:type="dxa"/>
          </w:tcPr>
          <w:p w:rsidR="00A37FB6" w:rsidRPr="0037654F" w:rsidRDefault="00A37FB6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10" w:type="dxa"/>
          </w:tcPr>
          <w:p w:rsidR="00A37FB6" w:rsidRPr="00A37FB6" w:rsidRDefault="00A37FB6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Polimer do elektroforezy POP-7 lub  równoważny:                                             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gotowy do użycia, o własnościach spełniających wymagania elektroforezy kapilarnej w posiadanym przez Zamawiającego aparacie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kapilarnym do sekwencjonowania metodą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uniwersalny, optymalizowany do użycia w analizach fragmentów  jak i sekwencjonowania krótkich i długich fragmentów na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sekwenatorze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kapilarnym; konfekcjonowany fabrycznie, w opakowaniu rozpoznawalnym przez system monitorowania czasu pracy i daty 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ważności odczynników (RFID - Radio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="00E60ECF"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pozwalający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na </w:t>
            </w:r>
            <w:r w:rsidR="00E60ECF"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przeprowadzenie</w:t>
            </w:r>
            <w:r w:rsidRPr="00A37F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do 384 analiz po zainstalowaniu, produkt do badań naukowych</w:t>
            </w:r>
          </w:p>
        </w:tc>
        <w:tc>
          <w:tcPr>
            <w:tcW w:w="619" w:type="dxa"/>
          </w:tcPr>
          <w:p w:rsidR="00A37FB6" w:rsidRPr="00A77862" w:rsidRDefault="00A37FB6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A37FB6" w:rsidRPr="00A77862" w:rsidRDefault="00A37FB6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491" w:type="dxa"/>
          </w:tcPr>
          <w:p w:rsidR="00A37FB6" w:rsidRPr="0037654F" w:rsidRDefault="00A37FB6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37FB6" w:rsidRPr="0037654F" w:rsidRDefault="00A37FB6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37FB6" w:rsidRPr="0037654F" w:rsidRDefault="00A37FB6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37FB6" w:rsidRPr="0037654F" w:rsidRDefault="00A37FB6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37FB6" w:rsidRPr="0037654F" w:rsidRDefault="00A37FB6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37FB6" w:rsidRPr="0037654F" w:rsidRDefault="00A37FB6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Pr="0037654F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Zestaw kapilar  8 x 36 cm lub równoważny, stanowiący integralną, zużywalną część wyposażenia  posiadanego przez Zamawiającego aparatu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kapilarnego do 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scalony zestaw 8 kapilar  wewnętrznie niepowlekanych, z jednym oknem odczytu,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 długości 36 cm, gwarantujący prawidłowość elektroforetycznych rozdziałów fragmentów DNA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konfekcjonowany fabrycznie, 1 sztuka (zestaw) w opakowaniu, produkt diagnostyczny z certyfikatem CE IVD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Zestaw kapilar  8 x 36 cm lub równoważny, stanowiący integralną, zużywalną część wyposażenia posiadanego przez Zamawiającego aparatu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kapilarnego do 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scalony zestaw 8 kapilar  wewnętrznie niepowlekanych, z jednym oknem odczytu,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 długości 36 cm, gwarantujący prawidłowość elektroforetycznych rozdziałów fragmentów DNA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konfekcjonowany fabrycznie, 1 sztuka (zestaw) w opakowaniu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Zestaw kapilar 8 x 50 cm lub równoważny, stanowiący integral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ną, zużywalną część wyposażenia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posiadanego przez Zamawiającego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aparatu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kapilarnego do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scalony zestaw 8 kapilar  wewnętrznie niepowlekanych, z jednym oknem odczy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tu,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 długości 50 cm, gwarantujący prawidłowość elektroforetycz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nych rozdziałów fragmentów DNA 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konfekcjonowany fabrycznie, 1 sztuka (zestaw) w opakowaniu, produkt diagnostyczny z certyfikatem CE IVD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Zestaw kapilar 8 x 50 cm lub równoważny, stanowiący integralną, zużywalną część wyposażenia posiadanego przez Zamawiającego aparatu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kapilarnego do 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scalony zestaw 8 kapilar  wewnętrznie niepowlekanych, z jednym oknem odczy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tu,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 w:type="page"/>
              <w:t xml:space="preserve">o długości 50 cm,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gwarantujący prawidłowość elektroforetycznych rozdziałów fragmentów DNA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 w:type="page"/>
              <w:t>konfekcjonowany fabrycznie, 1 sztuka (zestaw) w opakowaniu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Formamid (wysoko dejonizowany):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 przewodnictwie poniżej 30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μS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 stosowany w biologii molekularnej, w procesie elektroforetycznego rozdziału fragmentów DNA w warunkach denaturujących, gwarantujący prawidłowość rozdziału  zdenaturowanych fragmentów DNA w posiadanym przez Zamawia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jącego aparacie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optycznie neutralny,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konfekcjonowany fabrycznie po  5ml,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produkt diagnostyczny z </w:t>
            </w:r>
            <w:r w:rsidR="00E60ECF"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certyfikatem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CE IVD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Formamid (wysoko dejonizowany):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 przewodnictwie poniżej 30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μS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 stosowany w biologii molekularnej, w procesie elektroforetycznego rozdziału fragmentów DNA w warunkach denaturujących, gwarantujący prawidłowość rozdziału  zdenaturowanych fragmentów DNA w posiadanym przez Zamawiającego aparacie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F524E8" w:rsidRP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F524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kapilarnym do 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optycznie neutralny,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konfekcjonowany fabrycznie w 4 tubkach po 5ml każda, produkt diagnostyczny z certyfikatem CE IVD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Formamid (wysoko dejonizowany):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 przewodnictwie poniżej 30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μS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 stosowany w biologii molekularnej, w procesie elektroforetycznego rozdziału fragmentów DNA w warunkach denaturujących, gwarantujący prawidłowość rozdziału  zdenaturowanych fragmentów DNA w posiadanym przez Zamawiającego aparacie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kapilarnym do sekwencjonowania metod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ą </w:t>
            </w:r>
            <w:proofErr w:type="spellStart"/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optycznie neutralny,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konfekcjonowany fabrycznie w 4 tubkach po 5ml każda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Bufor anodowy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bufor anodowy do użytku w posiadanym przez Zamawiającego aparacie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do prawidłowego </w:t>
            </w:r>
            <w:r w:rsidR="00A4732D"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przeprowadzenia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procesu 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elektroforezy kapilarnej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w opakowaniu przygotowanym do bezpośredniego zainstalowania na aparacie po uprzednim </w:t>
            </w:r>
            <w:r w:rsidR="00A4732D"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usunięciu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4732D"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zabezpieczającej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folii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-konfekcjonowany fabrycznie w opakowaniu 4 szt. w opakowaniu ;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-w opakowaniu rozpoznawalnym przez system monitorowania czasu pracy i daty ważności odcz</w:t>
            </w:r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ynników (RFID - Radio </w:t>
            </w:r>
            <w:proofErr w:type="spellStart"/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produkt diagnostyczny z certyfikatem CE IVD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3510" w:type="dxa"/>
          </w:tcPr>
          <w:p w:rsidR="00BF6495" w:rsidRPr="00E60ECF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Bufor anodowy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bufor anodowy do użycia  w posiadanym przez Zamawiającego aparacie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kapilarnym do sekwencjonowania metodą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niezbędny do prawidłowego przeprowadzenia procesu elektroforezy kapilarnej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w opakowaniu przygotowanym do bezpośredniego zainstalowania na aparacie po uprzednim usunięciu zabezpieczającej folii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-konfekcjonowany fabrycznie w opakowaniu 4 szt. w opakowaniu ;</w:t>
            </w:r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-w opakowaniu rozpoznawalnym przez system monitorowania czasu pracy i daty ważności odczynników (RFID - Radio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E60EC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495" w:rsidRPr="0037654F" w:rsidTr="00FB0EEF">
        <w:tc>
          <w:tcPr>
            <w:tcW w:w="554" w:type="dxa"/>
          </w:tcPr>
          <w:p w:rsidR="00BF6495" w:rsidRDefault="00BF6495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10" w:type="dxa"/>
          </w:tcPr>
          <w:p w:rsidR="00BF6495" w:rsidRPr="00DD082B" w:rsidRDefault="00BF6495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Bufor katodowy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bufor katodowy, do użycia  w posiadanym przez Zamawiającego aparacie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 do prawidłowego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przeprowadzenia procesu elektroforezy kapilarnej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w kontenerze składającym się w dwóch oddzielnych pojemników; lewego przewidzianego na katodowy bufor do elektroforezy, prawego umożliwiającego przemycie kapilar i usuwanie zużytego polimeru pomiędzy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nastrzykami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konfekcjonowany fabrycznie w opakowaniu 4 szt. w opakowaniu ;w opakowaniu rozpoznawalnym przez system monitorowania czasu pracy i daty ważności odczynników (RFID - Radio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produkt diagnostyczny z certyfikatem CE IVD</w:t>
            </w:r>
          </w:p>
        </w:tc>
        <w:tc>
          <w:tcPr>
            <w:tcW w:w="61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BF6495" w:rsidRPr="00A77862" w:rsidRDefault="00BF6495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491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BF6495" w:rsidRPr="0037654F" w:rsidRDefault="00BF6495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BF6495" w:rsidRPr="0037654F" w:rsidRDefault="00BF6495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DD082B">
        <w:trPr>
          <w:trHeight w:val="4816"/>
        </w:trPr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Bufor katodowy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bufor katodowy, do użycia w 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posiadanym przez Zamawiającego aparacie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 do prawidłowego przeprowadzenia procesu elektroforezy kapilarnej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w kontenerze składającym się w dwóch oddzielnych pojemników; lewego przewidzianego na katodowy bufor do elektroforezy, prawego umożliwiającego przemycie kapilar i usuwanie zużytego polimeru pomiędzy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nastrzykami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konfekcjonowany fabrycznie w opakowaniu 4 szt. w opakowaniu ;w opakowaniu rozpoznawalnym przez system monitorowania czasu pracy i daty ważności odczynników (RFID - Radio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Odczynnik kondycjonujący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gotowy do użycia odczynnik stosowany do przygotowania i przemywania pompy polimeru w posiadanym przez Zamawiającego aparacie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stosowany w pompie przy zmianie polimeru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-w opakowaniu rozpoznawalnym przez system monitorowania czasu pracy i daty ważności odczynników (RFID - Radio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produkt diagnostyczny z certyfikatem CE IVD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Odczynnik kondycjonujący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gotowy do użycia odczynnik stosowany do przygotowania i przemywania pompy polimeru w 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posiadanym przez Zamawiającego aparacie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stosowany w pompie przy zmianie polimeru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-w opakowaniu rozpoznawalnym przez system monitorowania czasu pracy i daty ważności odczynników (RFID - Radio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Frequency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Identification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produkt diagnostyczny z certyfikatem CE IVD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Standard wielkości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służący do wymiarowania badanych fragmentów DNA w zakresie od 35-500 bp,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zawierający fragmenty DNA o znanej wielkości (bp): 35, 50, 75, 100,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139, 150, 160, 200, 250, 300, 340, 350, 400, 450, 490, 500,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znakowany barwnikiem LIZ,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z pełną kompatybilnością współdziałania z zestawami do identyfikacji osobniczej przedstawionymi w tabeli na pozycji nr 2 i nr 3, oraz spektralnym ustawieniem  posiadanego przez Zamawiającego aparatu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B466CB" w:rsidRP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B466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kapilarnego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konfekcjonowany fabrycznie w opakowani ilość wystarczająca na 800 analiz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- o stężeniu 8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nM.</w:t>
            </w:r>
            <w:proofErr w:type="spellEnd"/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Zestaw do cyklicznego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Przeznaczony do zastosowania z jedno i dwuniciową matrycą DNA, sekwencjonowania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amplikonów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oraz długich matryc (np. BAC). W zestawie bufor reakcyjny. Barwniki fluorescencyjne, którymi wyznakowane są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ddNTPy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powinny być kompatybilne z filtrami urządzenia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SeqStudio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Dostawca gwarantuje pełną kompatybilność produktu z  posiadanym przez Zamawiającego aparatem</w:t>
            </w:r>
            <w:r w:rsid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77983" w:rsidRP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577983" w:rsidRP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kapilarnym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1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= 100 reakcji w 20 ul. 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Zestaw do oczyszczania produktów sekwencjonowania, kompatybilny z posiadanym przez Zamawiającego aparatem </w:t>
            </w:r>
            <w:proofErr w:type="spellStart"/>
            <w:r w:rsidR="00577983" w:rsidRP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577983" w:rsidRP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kapilarnym do sekwencjonowania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metodą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Czas oczyszczania produktu nie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dłyżdzy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niż 40 minut. Dwuskładnikowy, niewymagający dodawania formamidu przed elektroforezą kapilarną. 1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= 100 reakcji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septa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na płytki, konfekcjonowany po 20 sztuk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septa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na pojemnik z buforem, konfekcjonowany po 20 sztuk, produkt diagnostyczny z certyfikatem CE IVD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septa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na pojemnik z buforem, konfekcjonowany po 20 sztuk, produkt diagnostyczny z certyfikatem CE IVD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Podstawa płytki do pracy ze standardowymi 96-dołkowymi płytkami </w:t>
            </w:r>
            <w:r w:rsidRPr="00DD082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w posiadanym przez Zamawiającego aparacie </w:t>
            </w:r>
            <w:proofErr w:type="spellStart"/>
            <w:r w:rsidR="00577983" w:rsidRPr="0057798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Genetic</w:t>
            </w:r>
            <w:proofErr w:type="spellEnd"/>
            <w:r w:rsidR="00577983" w:rsidRPr="0057798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Analyzer 3500</w:t>
            </w:r>
            <w:r w:rsidR="0057798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, </w:t>
            </w:r>
            <w:r w:rsidRPr="00DD082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8 kapilarnym do sekwencjonowania metodą </w:t>
            </w:r>
            <w:proofErr w:type="spellStart"/>
            <w:r w:rsidRPr="00DD082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Sangera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konfekcjonowany po 4 sztuki w opakowaniu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FB0EEF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Płytki 96-dołkowe do PCR, typ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semi-skirted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kompatybilne z posiadanym przez Zamawiającego aparatem </w:t>
            </w:r>
            <w:proofErr w:type="spellStart"/>
            <w:r w:rsidR="00577983" w:rsidRP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Genetic</w:t>
            </w:r>
            <w:proofErr w:type="spellEnd"/>
            <w:r w:rsidR="00577983" w:rsidRP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Analyzer 3500</w:t>
            </w:r>
            <w:r w:rsidR="005779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bookmarkStart w:id="0" w:name="_GoBack"/>
            <w:bookmarkEnd w:id="0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kapilarnym do sekwencj</w:t>
            </w:r>
            <w:r w:rsid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onowania metodą </w:t>
            </w:r>
            <w:proofErr w:type="spellStart"/>
            <w:r w:rsid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Sangera</w:t>
            </w:r>
            <w:proofErr w:type="spellEnd"/>
            <w:r w:rsid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0,2ml, </w:t>
            </w: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przezroczyste.1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= 10 szt.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A4732D">
        <w:tc>
          <w:tcPr>
            <w:tcW w:w="554" w:type="dxa"/>
          </w:tcPr>
          <w:p w:rsidR="00A4732D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510" w:type="dxa"/>
          </w:tcPr>
          <w:p w:rsidR="00A4732D" w:rsidRPr="00DD082B" w:rsidRDefault="00A4732D" w:rsidP="00A37FB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Enzymatyczny zestaw do oczyszczania produktów PCR. Mieszanina dwóch enzymów. Czas oczyszczania – ok. 5 minut. Zestaw niewykorzystujący kolumienek ani kulek magnetycznych.1 </w:t>
            </w:r>
            <w:proofErr w:type="spellStart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</w:t>
            </w:r>
            <w:proofErr w:type="spellEnd"/>
            <w:r w:rsidRPr="00DD08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= 2000 reakcji</w:t>
            </w:r>
          </w:p>
        </w:tc>
        <w:tc>
          <w:tcPr>
            <w:tcW w:w="61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A4732D" w:rsidRPr="00A77862" w:rsidRDefault="00A4732D" w:rsidP="0003759B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A4732D" w:rsidRPr="0037654F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732D" w:rsidRPr="0037654F" w:rsidTr="00A4732D">
        <w:tc>
          <w:tcPr>
            <w:tcW w:w="554" w:type="dxa"/>
          </w:tcPr>
          <w:p w:rsidR="00A4732D" w:rsidRPr="00D70ADB" w:rsidRDefault="00A4732D" w:rsidP="00AF1BD2">
            <w:pPr>
              <w:spacing w:after="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10" w:type="dxa"/>
          </w:tcPr>
          <w:p w:rsidR="00A4732D" w:rsidRPr="00D70ADB" w:rsidRDefault="00A4732D" w:rsidP="003504E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0ADB">
              <w:rPr>
                <w:rFonts w:ascii="Times New Roman" w:hAnsi="Times New Roman" w:cs="Times New Roman"/>
                <w:b/>
                <w:sz w:val="21"/>
                <w:szCs w:val="21"/>
              </w:rPr>
              <w:t>RAZEM:</w:t>
            </w:r>
          </w:p>
        </w:tc>
        <w:tc>
          <w:tcPr>
            <w:tcW w:w="619" w:type="dxa"/>
          </w:tcPr>
          <w:p w:rsidR="00A4732D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dxa"/>
          </w:tcPr>
          <w:p w:rsidR="00A4732D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A4732D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32D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A4732D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32D" w:rsidRDefault="00A4732D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A4732D" w:rsidRPr="0037654F" w:rsidRDefault="00A4732D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70ADB" w:rsidRDefault="00D70ADB" w:rsidP="00D70ADB">
      <w:pPr>
        <w:jc w:val="both"/>
        <w:rPr>
          <w:rFonts w:ascii="Calibri" w:hAnsi="Calibri" w:cs="Times New Roman"/>
          <w:b/>
        </w:rPr>
      </w:pPr>
    </w:p>
    <w:p w:rsidR="00DD082B" w:rsidRDefault="00DD082B" w:rsidP="00D70ADB">
      <w:pPr>
        <w:jc w:val="both"/>
        <w:rPr>
          <w:rFonts w:ascii="Calibri" w:hAnsi="Calibri" w:cs="Times New Roman"/>
          <w:b/>
        </w:rPr>
      </w:pPr>
    </w:p>
    <w:p w:rsidR="00D70ADB" w:rsidRPr="00C12F96" w:rsidRDefault="00D70ADB" w:rsidP="00D70ADB">
      <w:pPr>
        <w:jc w:val="both"/>
        <w:rPr>
          <w:rFonts w:ascii="Calibri" w:hAnsi="Calibri" w:cs="Times New Roman"/>
          <w:b/>
        </w:rPr>
      </w:pPr>
      <w:r w:rsidRPr="00C12F96">
        <w:rPr>
          <w:rFonts w:ascii="Calibri" w:hAnsi="Calibri" w:cs="Times New Roman"/>
          <w:b/>
        </w:rPr>
        <w:t>Wartość netto:  …..………………  PLN (słownie złotych: ………………………………………….………………………………….)</w:t>
      </w:r>
    </w:p>
    <w:p w:rsidR="00D70ADB" w:rsidRPr="00C12F96" w:rsidRDefault="00D70ADB" w:rsidP="00D70ADB">
      <w:pPr>
        <w:jc w:val="both"/>
        <w:rPr>
          <w:rFonts w:ascii="Calibri" w:hAnsi="Calibri" w:cs="Times New Roman"/>
          <w:b/>
        </w:rPr>
      </w:pPr>
      <w:r w:rsidRPr="00C12F96">
        <w:rPr>
          <w:rFonts w:ascii="Calibri" w:hAnsi="Calibri" w:cs="Times New Roman"/>
          <w:b/>
        </w:rPr>
        <w:t>Wartość brutto:  …..……..………  PLN (słownie złotych: ………………………………………….………………………………….)</w:t>
      </w:r>
    </w:p>
    <w:p w:rsidR="00D70ADB" w:rsidRPr="00C12F96" w:rsidRDefault="00D70ADB" w:rsidP="00D70ADB">
      <w:pPr>
        <w:tabs>
          <w:tab w:val="left" w:pos="10275"/>
        </w:tabs>
        <w:jc w:val="both"/>
        <w:rPr>
          <w:rFonts w:ascii="Calibri" w:hAnsi="Calibri" w:cs="Times New Roman"/>
        </w:rPr>
      </w:pPr>
      <w:r w:rsidRPr="00C12F96">
        <w:rPr>
          <w:rFonts w:ascii="Calibri" w:hAnsi="Calibri" w:cs="Times New Roman"/>
        </w:rPr>
        <w:tab/>
      </w:r>
    </w:p>
    <w:p w:rsidR="00D70ADB" w:rsidRPr="00B94C4D" w:rsidRDefault="00D70ADB" w:rsidP="00D70ADB">
      <w:pPr>
        <w:rPr>
          <w:rFonts w:cstheme="minorHAnsi"/>
        </w:rPr>
      </w:pPr>
    </w:p>
    <w:p w:rsidR="00D70ADB" w:rsidRPr="00B94C4D" w:rsidRDefault="00D70ADB" w:rsidP="00D70ADB">
      <w:pPr>
        <w:spacing w:after="0"/>
        <w:rPr>
          <w:rFonts w:cstheme="minorHAnsi"/>
          <w:color w:val="FF0000"/>
        </w:rPr>
      </w:pPr>
      <w:r>
        <w:rPr>
          <w:rFonts w:cstheme="minorHAnsi"/>
        </w:rPr>
        <w:tab/>
      </w:r>
      <w:r w:rsidR="00DD082B">
        <w:rPr>
          <w:rFonts w:cstheme="minorHAnsi"/>
        </w:rPr>
        <w:br/>
      </w:r>
      <w:r w:rsidRPr="00B94C4D">
        <w:rPr>
          <w:rFonts w:cstheme="minorHAnsi"/>
          <w:color w:val="FF0000"/>
        </w:rPr>
        <w:t>UWAGA:</w:t>
      </w:r>
    </w:p>
    <w:p w:rsidR="00D70ADB" w:rsidRPr="00B94C4D" w:rsidRDefault="00D70ADB" w:rsidP="00D70ADB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color w:val="FF0000"/>
        </w:rPr>
      </w:pPr>
      <w:r w:rsidRPr="00B94C4D">
        <w:rPr>
          <w:rFonts w:cstheme="minorHAnsi"/>
          <w:color w:val="FF0000"/>
        </w:rPr>
        <w:t>Zamawiający zaleca przed podpisaniem, zapisanie dokumentu w formacie .pdf</w:t>
      </w:r>
    </w:p>
    <w:p w:rsidR="00D70ADB" w:rsidRPr="00B94C4D" w:rsidRDefault="00D70ADB" w:rsidP="00D70ADB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color w:val="FF0000"/>
        </w:rPr>
      </w:pPr>
      <w:r w:rsidRPr="00B94C4D">
        <w:rPr>
          <w:rFonts w:cstheme="minorHAnsi"/>
          <w:color w:val="FF0000"/>
        </w:rPr>
        <w:t> Dokument musi być opatrzony przez osobę lub osoby uprawnione do reprezentowania wykonawcy, kwalifikowanym podpisem elektronicznym i przekazany Zamawiającemu wraz z dokumentem (-</w:t>
      </w:r>
      <w:proofErr w:type="spellStart"/>
      <w:r w:rsidRPr="00B94C4D">
        <w:rPr>
          <w:rFonts w:cstheme="minorHAnsi"/>
          <w:color w:val="FF0000"/>
        </w:rPr>
        <w:t>ami</w:t>
      </w:r>
      <w:proofErr w:type="spellEnd"/>
      <w:r w:rsidRPr="00B94C4D">
        <w:rPr>
          <w:rFonts w:cstheme="minorHAnsi"/>
          <w:color w:val="FF0000"/>
        </w:rPr>
        <w:t>) potwierdzającymi prawo do reprezentacji Wykonawcy przez osobę podpisującą ofertę.</w:t>
      </w:r>
    </w:p>
    <w:p w:rsidR="00084566" w:rsidRDefault="00084566" w:rsidP="00084566">
      <w:pPr>
        <w:autoSpaceDE w:val="0"/>
        <w:autoSpaceDN w:val="0"/>
        <w:spacing w:after="0" w:line="240" w:lineRule="auto"/>
        <w:jc w:val="both"/>
        <w:rPr>
          <w:rFonts w:ascii="Calibri" w:hAnsi="Calibri" w:cs="Times New Roman"/>
          <w:b/>
        </w:rPr>
      </w:pPr>
    </w:p>
    <w:sectPr w:rsidR="00084566" w:rsidSect="000E0A9F">
      <w:head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B1" w:rsidRDefault="000800B1" w:rsidP="00D70ADB">
      <w:pPr>
        <w:spacing w:after="0" w:line="240" w:lineRule="auto"/>
      </w:pPr>
      <w:r>
        <w:separator/>
      </w:r>
    </w:p>
  </w:endnote>
  <w:endnote w:type="continuationSeparator" w:id="0">
    <w:p w:rsidR="000800B1" w:rsidRDefault="000800B1" w:rsidP="00D7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B1" w:rsidRDefault="000800B1" w:rsidP="00D70ADB">
      <w:pPr>
        <w:spacing w:after="0" w:line="240" w:lineRule="auto"/>
      </w:pPr>
      <w:r>
        <w:separator/>
      </w:r>
    </w:p>
  </w:footnote>
  <w:footnote w:type="continuationSeparator" w:id="0">
    <w:p w:rsidR="000800B1" w:rsidRDefault="000800B1" w:rsidP="00D7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DB" w:rsidRPr="00D70ADB" w:rsidRDefault="00D70ADB" w:rsidP="00D70AD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70ADB">
      <w:rPr>
        <w:rFonts w:ascii="Calibri" w:eastAsia="Calibri" w:hAnsi="Calibri" w:cs="Times New Roman"/>
      </w:rPr>
      <w:t>Załącznik nr 2.</w:t>
    </w:r>
    <w:r w:rsidR="00A37FB6">
      <w:rPr>
        <w:rFonts w:ascii="Calibri" w:eastAsia="Calibri" w:hAnsi="Calibri" w:cs="Times New Roman"/>
      </w:rPr>
      <w:t>2</w:t>
    </w:r>
    <w:r w:rsidRPr="00D70ADB">
      <w:rPr>
        <w:rFonts w:ascii="Calibri" w:eastAsia="Calibri" w:hAnsi="Calibri" w:cs="Times New Roman"/>
      </w:rPr>
      <w:t xml:space="preserve"> do SWZ - Przedmiot zamówienia - formularz cenowy</w:t>
    </w:r>
  </w:p>
  <w:p w:rsidR="00D70ADB" w:rsidRPr="00D70ADB" w:rsidRDefault="00D70ADB" w:rsidP="00D70AD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70ADB"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         </w:t>
    </w:r>
    <w:r w:rsidR="00A37FB6">
      <w:rPr>
        <w:rFonts w:ascii="Calibri" w:eastAsia="Calibri" w:hAnsi="Calibri" w:cs="Times New Roman"/>
      </w:rPr>
      <w:t xml:space="preserve">        znak postępowania PN-256</w:t>
    </w:r>
    <w:r w:rsidRPr="00D70ADB">
      <w:rPr>
        <w:rFonts w:ascii="Calibri" w:eastAsia="Calibri" w:hAnsi="Calibri" w:cs="Times New Roman"/>
      </w:rPr>
      <w:t>/23/HO</w:t>
    </w:r>
  </w:p>
  <w:p w:rsidR="00D70ADB" w:rsidRDefault="00D70A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13E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9FD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3E2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61894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93D19"/>
    <w:multiLevelType w:val="hybridMultilevel"/>
    <w:tmpl w:val="65AE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F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567"/>
    <w:rsid w:val="00003A6E"/>
    <w:rsid w:val="00024E21"/>
    <w:rsid w:val="00032D8C"/>
    <w:rsid w:val="00040405"/>
    <w:rsid w:val="00053C15"/>
    <w:rsid w:val="00077CA9"/>
    <w:rsid w:val="000800B1"/>
    <w:rsid w:val="00083443"/>
    <w:rsid w:val="00084566"/>
    <w:rsid w:val="00090282"/>
    <w:rsid w:val="000E0A9F"/>
    <w:rsid w:val="000E512A"/>
    <w:rsid w:val="000F6F9D"/>
    <w:rsid w:val="00100CE3"/>
    <w:rsid w:val="00130F53"/>
    <w:rsid w:val="001373E2"/>
    <w:rsid w:val="00140596"/>
    <w:rsid w:val="00140987"/>
    <w:rsid w:val="001566CE"/>
    <w:rsid w:val="0017624E"/>
    <w:rsid w:val="001B0C0B"/>
    <w:rsid w:val="001B66F4"/>
    <w:rsid w:val="001C087E"/>
    <w:rsid w:val="001C36B2"/>
    <w:rsid w:val="001F5722"/>
    <w:rsid w:val="001F7111"/>
    <w:rsid w:val="00204760"/>
    <w:rsid w:val="002145FF"/>
    <w:rsid w:val="002305C8"/>
    <w:rsid w:val="00256924"/>
    <w:rsid w:val="00257028"/>
    <w:rsid w:val="00263467"/>
    <w:rsid w:val="00266259"/>
    <w:rsid w:val="002777C4"/>
    <w:rsid w:val="002B7370"/>
    <w:rsid w:val="00332375"/>
    <w:rsid w:val="003504EF"/>
    <w:rsid w:val="003552C9"/>
    <w:rsid w:val="003602B0"/>
    <w:rsid w:val="003662A8"/>
    <w:rsid w:val="00370711"/>
    <w:rsid w:val="0037654F"/>
    <w:rsid w:val="003919A4"/>
    <w:rsid w:val="003A70A7"/>
    <w:rsid w:val="003C1322"/>
    <w:rsid w:val="003E0644"/>
    <w:rsid w:val="003E7469"/>
    <w:rsid w:val="00432A26"/>
    <w:rsid w:val="00440522"/>
    <w:rsid w:val="00476694"/>
    <w:rsid w:val="004C67D4"/>
    <w:rsid w:val="004F4C4C"/>
    <w:rsid w:val="00536CB8"/>
    <w:rsid w:val="00553A44"/>
    <w:rsid w:val="00554987"/>
    <w:rsid w:val="00577983"/>
    <w:rsid w:val="005A09E2"/>
    <w:rsid w:val="005B192D"/>
    <w:rsid w:val="005C57F8"/>
    <w:rsid w:val="005E12A6"/>
    <w:rsid w:val="005E1537"/>
    <w:rsid w:val="00626F89"/>
    <w:rsid w:val="0063269C"/>
    <w:rsid w:val="00636C04"/>
    <w:rsid w:val="00675441"/>
    <w:rsid w:val="00691B93"/>
    <w:rsid w:val="00693615"/>
    <w:rsid w:val="006F2F28"/>
    <w:rsid w:val="006F7B37"/>
    <w:rsid w:val="00742D88"/>
    <w:rsid w:val="0075398B"/>
    <w:rsid w:val="00782944"/>
    <w:rsid w:val="00793D8E"/>
    <w:rsid w:val="007C1CBB"/>
    <w:rsid w:val="00800C1E"/>
    <w:rsid w:val="00810BB3"/>
    <w:rsid w:val="0082095C"/>
    <w:rsid w:val="00826528"/>
    <w:rsid w:val="00842DBD"/>
    <w:rsid w:val="00894855"/>
    <w:rsid w:val="008D68F3"/>
    <w:rsid w:val="008D6C09"/>
    <w:rsid w:val="008E6567"/>
    <w:rsid w:val="00954718"/>
    <w:rsid w:val="00966983"/>
    <w:rsid w:val="009707FC"/>
    <w:rsid w:val="009C6335"/>
    <w:rsid w:val="009D0D16"/>
    <w:rsid w:val="009D3033"/>
    <w:rsid w:val="009D6B94"/>
    <w:rsid w:val="009E3457"/>
    <w:rsid w:val="00A07E2D"/>
    <w:rsid w:val="00A37FB6"/>
    <w:rsid w:val="00A4295D"/>
    <w:rsid w:val="00A4732D"/>
    <w:rsid w:val="00A77862"/>
    <w:rsid w:val="00A9097C"/>
    <w:rsid w:val="00AA466E"/>
    <w:rsid w:val="00AA504F"/>
    <w:rsid w:val="00AB5D95"/>
    <w:rsid w:val="00AC2498"/>
    <w:rsid w:val="00AD4168"/>
    <w:rsid w:val="00AE58D4"/>
    <w:rsid w:val="00AF09C2"/>
    <w:rsid w:val="00AF1BD2"/>
    <w:rsid w:val="00B042E4"/>
    <w:rsid w:val="00B20F2A"/>
    <w:rsid w:val="00B2171C"/>
    <w:rsid w:val="00B322B7"/>
    <w:rsid w:val="00B466CB"/>
    <w:rsid w:val="00B5469D"/>
    <w:rsid w:val="00B56AC3"/>
    <w:rsid w:val="00B6128A"/>
    <w:rsid w:val="00B866B9"/>
    <w:rsid w:val="00B9621A"/>
    <w:rsid w:val="00BA1D6B"/>
    <w:rsid w:val="00BA7AEE"/>
    <w:rsid w:val="00BE1FDD"/>
    <w:rsid w:val="00BF427F"/>
    <w:rsid w:val="00BF6495"/>
    <w:rsid w:val="00C000A5"/>
    <w:rsid w:val="00C36095"/>
    <w:rsid w:val="00C422DD"/>
    <w:rsid w:val="00C52FA0"/>
    <w:rsid w:val="00C624A6"/>
    <w:rsid w:val="00C6423E"/>
    <w:rsid w:val="00CE1B71"/>
    <w:rsid w:val="00D00978"/>
    <w:rsid w:val="00D00980"/>
    <w:rsid w:val="00D526BA"/>
    <w:rsid w:val="00D70ADB"/>
    <w:rsid w:val="00D70D1D"/>
    <w:rsid w:val="00D9439F"/>
    <w:rsid w:val="00DA1884"/>
    <w:rsid w:val="00DB5C7B"/>
    <w:rsid w:val="00DD082B"/>
    <w:rsid w:val="00E01639"/>
    <w:rsid w:val="00E03EC0"/>
    <w:rsid w:val="00E1488B"/>
    <w:rsid w:val="00E2707D"/>
    <w:rsid w:val="00E40F28"/>
    <w:rsid w:val="00E54193"/>
    <w:rsid w:val="00E60ECF"/>
    <w:rsid w:val="00E857C3"/>
    <w:rsid w:val="00EA2CED"/>
    <w:rsid w:val="00ED67CE"/>
    <w:rsid w:val="00EF13EF"/>
    <w:rsid w:val="00F04965"/>
    <w:rsid w:val="00F250B0"/>
    <w:rsid w:val="00F464F9"/>
    <w:rsid w:val="00F524E8"/>
    <w:rsid w:val="00F52C63"/>
    <w:rsid w:val="00F544C9"/>
    <w:rsid w:val="00F83998"/>
    <w:rsid w:val="00FA4B6E"/>
    <w:rsid w:val="00FA6D77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DB"/>
  </w:style>
  <w:style w:type="paragraph" w:styleId="Stopka">
    <w:name w:val="footer"/>
    <w:basedOn w:val="Normalny"/>
    <w:link w:val="StopkaZnak"/>
    <w:uiPriority w:val="99"/>
    <w:unhideWhenUsed/>
    <w:rsid w:val="00D7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197E-20FD-41B1-9DE3-A5080DD8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</dc:creator>
  <cp:keywords/>
  <dc:description/>
  <cp:lastModifiedBy>Halina Opolska</cp:lastModifiedBy>
  <cp:revision>141</cp:revision>
  <cp:lastPrinted>2023-02-20T07:42:00Z</cp:lastPrinted>
  <dcterms:created xsi:type="dcterms:W3CDTF">2021-09-25T12:43:00Z</dcterms:created>
  <dcterms:modified xsi:type="dcterms:W3CDTF">2023-11-03T12:40:00Z</dcterms:modified>
</cp:coreProperties>
</file>